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373F6A">
        <w:rPr>
          <w:rFonts w:ascii="Verdana" w:hAnsi="Verdana"/>
          <w:b/>
          <w:bCs/>
          <w:sz w:val="20"/>
          <w:szCs w:val="20"/>
          <w:lang w:val="es-ES_tradnl" w:bidi="he-IL"/>
        </w:rPr>
        <w:t>Estrés laboral y autocuidado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373F6A">
        <w:t>17 y 18 de M</w:t>
      </w:r>
      <w:r w:rsidR="00373F6A" w:rsidRPr="00373F6A">
        <w:t>ayo SALA 6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  <w:bookmarkStart w:id="1" w:name="_GoBack"/>
      <w:bookmarkEnd w:id="1"/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373F6A" w:rsidRPr="004A265C" w:rsidRDefault="00373F6A" w:rsidP="00373F6A">
      <w:pPr>
        <w:widowControl w:val="0"/>
        <w:spacing w:after="0"/>
        <w:ind w:firstLine="708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6A72FA">
        <w:rPr>
          <w:rFonts w:cs="Arial"/>
        </w:rPr>
        <w:t> </w:t>
      </w:r>
      <w:r>
        <w:rPr>
          <w:rFonts w:cs="Arial"/>
        </w:rPr>
        <w:tab/>
        <w:t>Aprender a conocer y reconocer el fenómeno del estrés, sus distintas manifestaciones, para de esa manera desplegar estrategias de cuidado personal.</w:t>
      </w:r>
    </w:p>
    <w:p w:rsidR="00373F6A" w:rsidRPr="00C477A7" w:rsidRDefault="00373F6A" w:rsidP="00373F6A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373F6A" w:rsidRPr="00C477A7" w:rsidRDefault="00373F6A" w:rsidP="00373F6A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373F6A" w:rsidRDefault="00373F6A" w:rsidP="00373F6A">
      <w:pPr>
        <w:pStyle w:val="Default"/>
        <w:jc w:val="both"/>
      </w:pP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1. Conocer</w:t>
      </w: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 el fenómeno del estrés y sus distintos modelos explicativo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s.</w:t>
      </w: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2.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Reconocer las distintas manifestaciones del estrés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301BCB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3. 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Incorporar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herramientas y habilidades de autocuidado en las distintas áreas de funcionamiento vital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654114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y modelos explicativos.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en personal clínico hospitalario</w:t>
      </w:r>
      <w:r w:rsidRPr="008C15A5">
        <w:rPr>
          <w:rFonts w:asciiTheme="minorHAnsi" w:hAnsiTheme="minorHAnsi"/>
          <w:bCs/>
          <w:sz w:val="24"/>
          <w:szCs w:val="24"/>
          <w:lang w:val="es-ES_tradnl" w:bidi="he-IL"/>
        </w:rPr>
        <w:t>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Burnout y </w:t>
      </w: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Engagement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como partes de un continuum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Mobbing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o Acoso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Estrategias de afrontamiento salutíferas </w:t>
      </w:r>
    </w:p>
    <w:p w:rsidR="00373F6A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Entrenamiento en Asertividad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Entrenamiento en Mindfulness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29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34"/>
  </w:num>
  <w:num w:numId="12">
    <w:abstractNumId w:val="1"/>
  </w:num>
  <w:num w:numId="13">
    <w:abstractNumId w:val="8"/>
  </w:num>
  <w:num w:numId="14">
    <w:abstractNumId w:val="20"/>
  </w:num>
  <w:num w:numId="15">
    <w:abstractNumId w:val="30"/>
  </w:num>
  <w:num w:numId="16">
    <w:abstractNumId w:val="9"/>
  </w:num>
  <w:num w:numId="17">
    <w:abstractNumId w:val="21"/>
  </w:num>
  <w:num w:numId="18">
    <w:abstractNumId w:val="7"/>
  </w:num>
  <w:num w:numId="19">
    <w:abstractNumId w:val="10"/>
  </w:num>
  <w:num w:numId="20">
    <w:abstractNumId w:val="22"/>
  </w:num>
  <w:num w:numId="21">
    <w:abstractNumId w:val="6"/>
  </w:num>
  <w:num w:numId="22">
    <w:abstractNumId w:val="31"/>
  </w:num>
  <w:num w:numId="23">
    <w:abstractNumId w:val="18"/>
  </w:num>
  <w:num w:numId="24">
    <w:abstractNumId w:val="0"/>
  </w:num>
  <w:num w:numId="25">
    <w:abstractNumId w:val="33"/>
  </w:num>
  <w:num w:numId="26">
    <w:abstractNumId w:val="19"/>
  </w:num>
  <w:num w:numId="27">
    <w:abstractNumId w:val="24"/>
  </w:num>
  <w:num w:numId="28">
    <w:abstractNumId w:val="3"/>
  </w:num>
  <w:num w:numId="29">
    <w:abstractNumId w:val="11"/>
  </w:num>
  <w:num w:numId="30">
    <w:abstractNumId w:val="32"/>
  </w:num>
  <w:num w:numId="31">
    <w:abstractNumId w:val="28"/>
  </w:num>
  <w:num w:numId="32">
    <w:abstractNumId w:val="23"/>
  </w:num>
  <w:num w:numId="33">
    <w:abstractNumId w:val="27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CD8D46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EEDE-4D41-4CCC-ABA3-EC4BA3E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8</cp:revision>
  <dcterms:created xsi:type="dcterms:W3CDTF">2018-03-13T18:01:00Z</dcterms:created>
  <dcterms:modified xsi:type="dcterms:W3CDTF">2018-04-16T18:17:00Z</dcterms:modified>
</cp:coreProperties>
</file>