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620BD">
        <w:rPr>
          <w:rFonts w:ascii="Verdana" w:hAnsi="Verdana"/>
          <w:b/>
          <w:bCs/>
          <w:sz w:val="20"/>
          <w:szCs w:val="20"/>
          <w:lang w:val="es-ES_tradnl" w:bidi="he-IL"/>
        </w:rPr>
        <w:t>Estatuto Administrativo Básico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007391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07391" w:rsidRPr="00007391">
        <w:t>29 y 31 de Mayo SALA 1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bookmarkStart w:id="0" w:name="_GoBack"/>
      <w:bookmarkEnd w:id="0"/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Adquirir Competencias técnicas, para aplicar en el desarrollo de sus tareas y desempeño de sus funciones conociendo y comprendiendo los fundamentos de Estatuto Administrativo. Lo anterior de Tal modo que el funcionario/alumno pueda, en su trabajo cotidiano, aplicar la normativa nacional.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>Conocer los aspectos más relevantes del Estatuto Administrativo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Comprender la normativa nacional que rige la carrera funcionaria 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Identificar la responsabilidad Administrativa y sus Sanciones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Analizar la inhabilidades e incompatibilidades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Aplicar la Jurisprudencia a Través de un caso práctico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Introducción Ley 18834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Capacitación y Evaluación de Desempeño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Obligaciones y Deberes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 xml:space="preserve">Derechos funcionarios 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Responsabilidad administrativa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Cesión de funcionarios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Taller de Trabajo, aplicar conceptos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F9E27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5957-9632-4E8A-8FFF-3A7D9A5C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4</cp:revision>
  <dcterms:created xsi:type="dcterms:W3CDTF">2018-03-13T18:01:00Z</dcterms:created>
  <dcterms:modified xsi:type="dcterms:W3CDTF">2018-04-16T17:54:00Z</dcterms:modified>
</cp:coreProperties>
</file>